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40" w:type="dxa"/>
        <w:tblInd w:w="115" w:type="dxa"/>
        <w:shd w:val="clear" w:color="auto" w:fill="FFFFFF"/>
        <w:tblCellMar>
          <w:top w:w="15" w:type="dxa"/>
          <w:left w:w="15" w:type="dxa"/>
          <w:bottom w:w="15" w:type="dxa"/>
          <w:right w:w="15" w:type="dxa"/>
        </w:tblCellMar>
        <w:tblLook w:val="04A0"/>
      </w:tblPr>
      <w:tblGrid>
        <w:gridCol w:w="2667"/>
        <w:gridCol w:w="6573"/>
      </w:tblGrid>
      <w:tr w:rsidR="00082302" w:rsidRPr="00082302" w:rsidTr="00082302">
        <w:trPr>
          <w:trHeight w:val="284"/>
        </w:trPr>
        <w:tc>
          <w:tcPr>
            <w:tcW w:w="0" w:type="auto"/>
            <w:shd w:val="clear" w:color="auto" w:fill="FFFFFF"/>
            <w:hideMark/>
          </w:tcPr>
          <w:p w:rsidR="00082302" w:rsidRPr="00082302" w:rsidRDefault="00082302" w:rsidP="00082302">
            <w:pPr>
              <w:spacing w:after="0" w:line="360" w:lineRule="exact"/>
              <w:jc w:val="center"/>
              <w:rPr>
                <w:rFonts w:ascii="Arial" w:eastAsia="Times New Roman" w:hAnsi="Arial" w:cs="Arial"/>
                <w:color w:val="000000"/>
                <w:sz w:val="18"/>
                <w:szCs w:val="18"/>
                <w:lang w:eastAsia="vi-VN"/>
              </w:rPr>
            </w:pPr>
            <w:r w:rsidRPr="00082302">
              <w:rPr>
                <w:rFonts w:ascii="Arial" w:eastAsia="Times New Roman" w:hAnsi="Arial" w:cs="Arial"/>
                <w:b/>
                <w:bCs/>
                <w:color w:val="000000"/>
                <w:sz w:val="20"/>
                <w:szCs w:val="20"/>
                <w:lang w:eastAsia="vi-VN"/>
              </w:rPr>
              <w:t>BỘ TÀI CHÍNH</w:t>
            </w:r>
          </w:p>
          <w:p w:rsidR="00082302" w:rsidRPr="00082302" w:rsidRDefault="00082302" w:rsidP="00082302">
            <w:pPr>
              <w:spacing w:after="0" w:line="360" w:lineRule="exact"/>
              <w:jc w:val="center"/>
              <w:rPr>
                <w:rFonts w:ascii="Arial" w:eastAsia="Times New Roman" w:hAnsi="Arial" w:cs="Arial"/>
                <w:color w:val="000000"/>
                <w:sz w:val="18"/>
                <w:szCs w:val="18"/>
                <w:lang w:eastAsia="vi-VN"/>
              </w:rPr>
            </w:pPr>
            <w:r w:rsidRPr="00082302">
              <w:rPr>
                <w:rFonts w:ascii="Arial" w:eastAsia="Times New Roman" w:hAnsi="Arial" w:cs="Arial"/>
                <w:color w:val="000000"/>
                <w:sz w:val="18"/>
                <w:szCs w:val="18"/>
                <w:lang w:eastAsia="vi-VN"/>
              </w:rPr>
              <w:t> </w:t>
            </w:r>
          </w:p>
        </w:tc>
        <w:tc>
          <w:tcPr>
            <w:tcW w:w="0" w:type="auto"/>
            <w:shd w:val="clear" w:color="auto" w:fill="FFFFFF"/>
            <w:hideMark/>
          </w:tcPr>
          <w:p w:rsidR="00082302" w:rsidRPr="00082302" w:rsidRDefault="00082302" w:rsidP="00082302">
            <w:pPr>
              <w:spacing w:after="0" w:line="360" w:lineRule="exact"/>
              <w:jc w:val="center"/>
              <w:rPr>
                <w:rFonts w:ascii="Arial" w:eastAsia="Times New Roman" w:hAnsi="Arial" w:cs="Arial"/>
                <w:color w:val="000000"/>
                <w:sz w:val="18"/>
                <w:szCs w:val="18"/>
                <w:lang w:eastAsia="vi-VN"/>
              </w:rPr>
            </w:pPr>
            <w:r w:rsidRPr="00082302">
              <w:rPr>
                <w:rFonts w:ascii="Arial" w:eastAsia="Times New Roman" w:hAnsi="Arial" w:cs="Arial"/>
                <w:b/>
                <w:bCs/>
                <w:color w:val="000000"/>
                <w:sz w:val="20"/>
                <w:szCs w:val="20"/>
                <w:lang w:eastAsia="vi-VN"/>
              </w:rPr>
              <w:t>CỘNG HOÀ XÃ HỘI CHỦ NGHĨA VIỆT NAM</w:t>
            </w:r>
          </w:p>
          <w:p w:rsidR="00082302" w:rsidRPr="00082302" w:rsidRDefault="00082302" w:rsidP="00082302">
            <w:pPr>
              <w:spacing w:after="0" w:line="360" w:lineRule="exact"/>
              <w:jc w:val="center"/>
              <w:rPr>
                <w:rFonts w:ascii="Arial" w:eastAsia="Times New Roman" w:hAnsi="Arial" w:cs="Arial"/>
                <w:color w:val="000000"/>
                <w:sz w:val="18"/>
                <w:szCs w:val="18"/>
                <w:lang w:eastAsia="vi-VN"/>
              </w:rPr>
            </w:pPr>
            <w:r w:rsidRPr="00082302">
              <w:rPr>
                <w:rFonts w:ascii="Arial" w:eastAsia="Times New Roman" w:hAnsi="Arial" w:cs="Arial"/>
                <w:b/>
                <w:bCs/>
                <w:color w:val="000000"/>
                <w:sz w:val="20"/>
                <w:szCs w:val="20"/>
                <w:lang w:eastAsia="vi-VN"/>
              </w:rPr>
              <w:t>Độc lập - Tự do - Hạnh phúc</w:t>
            </w:r>
          </w:p>
        </w:tc>
      </w:tr>
      <w:tr w:rsidR="00082302" w:rsidRPr="00082302" w:rsidTr="00082302">
        <w:trPr>
          <w:trHeight w:val="284"/>
        </w:trPr>
        <w:tc>
          <w:tcPr>
            <w:tcW w:w="0" w:type="auto"/>
            <w:shd w:val="clear" w:color="auto" w:fill="FFFFFF"/>
            <w:vAlign w:val="bottom"/>
            <w:hideMark/>
          </w:tcPr>
          <w:p w:rsidR="00082302" w:rsidRPr="00082302" w:rsidRDefault="00082302" w:rsidP="00082302">
            <w:pPr>
              <w:spacing w:after="0" w:line="360" w:lineRule="exact"/>
              <w:jc w:val="center"/>
              <w:rPr>
                <w:rFonts w:ascii="Arial" w:eastAsia="Times New Roman" w:hAnsi="Arial" w:cs="Arial"/>
                <w:color w:val="000000"/>
                <w:sz w:val="18"/>
                <w:szCs w:val="18"/>
                <w:lang w:eastAsia="vi-VN"/>
              </w:rPr>
            </w:pPr>
            <w:r w:rsidRPr="00082302">
              <w:rPr>
                <w:rFonts w:ascii="Arial" w:eastAsia="Times New Roman" w:hAnsi="Arial" w:cs="Arial"/>
                <w:color w:val="000000"/>
                <w:sz w:val="20"/>
                <w:szCs w:val="20"/>
                <w:lang w:eastAsia="vi-VN"/>
              </w:rPr>
              <w:t>Số: /2018/TT-BTC</w:t>
            </w:r>
          </w:p>
        </w:tc>
        <w:tc>
          <w:tcPr>
            <w:tcW w:w="0" w:type="auto"/>
            <w:shd w:val="clear" w:color="auto" w:fill="FFFFFF"/>
            <w:vAlign w:val="bottom"/>
            <w:hideMark/>
          </w:tcPr>
          <w:p w:rsidR="00082302" w:rsidRPr="00082302" w:rsidRDefault="00082302" w:rsidP="00082302">
            <w:pPr>
              <w:spacing w:after="0" w:line="360" w:lineRule="exact"/>
              <w:jc w:val="center"/>
              <w:rPr>
                <w:rFonts w:ascii="Arial" w:eastAsia="Times New Roman" w:hAnsi="Arial" w:cs="Arial"/>
                <w:color w:val="000000"/>
                <w:sz w:val="18"/>
                <w:szCs w:val="18"/>
                <w:lang w:eastAsia="vi-VN"/>
              </w:rPr>
            </w:pPr>
            <w:r w:rsidRPr="00082302">
              <w:rPr>
                <w:rFonts w:ascii="Arial" w:eastAsia="Times New Roman" w:hAnsi="Arial" w:cs="Arial"/>
                <w:i/>
                <w:iCs/>
                <w:color w:val="000000"/>
                <w:sz w:val="20"/>
                <w:szCs w:val="20"/>
                <w:lang w:eastAsia="vi-VN"/>
              </w:rPr>
              <w:t>Hà Nội, ngày tháng năm 2018</w:t>
            </w:r>
          </w:p>
        </w:tc>
      </w:tr>
    </w:tbl>
    <w:p w:rsidR="00082302" w:rsidRPr="00082302" w:rsidRDefault="00082302" w:rsidP="00082302">
      <w:pPr>
        <w:shd w:val="clear" w:color="auto" w:fill="FFFFFF"/>
        <w:spacing w:after="0" w:line="360" w:lineRule="exact"/>
        <w:jc w:val="center"/>
        <w:rPr>
          <w:rFonts w:eastAsia="Times New Roman" w:cs="Times New Roman"/>
          <w:color w:val="000000"/>
          <w:sz w:val="18"/>
          <w:szCs w:val="18"/>
          <w:lang w:eastAsia="vi-VN"/>
        </w:rPr>
      </w:pPr>
      <w:r w:rsidRPr="00082302">
        <w:rPr>
          <w:rFonts w:eastAsia="Times New Roman" w:cs="Times New Roman"/>
          <w:color w:val="000000"/>
          <w:sz w:val="18"/>
          <w:szCs w:val="18"/>
          <w:lang w:eastAsia="vi-VN"/>
        </w:rPr>
        <w:t> </w:t>
      </w:r>
    </w:p>
    <w:p w:rsidR="00082302" w:rsidRPr="00082302" w:rsidRDefault="00082302" w:rsidP="00082302">
      <w:pPr>
        <w:shd w:val="clear" w:color="auto" w:fill="FFFFFF"/>
        <w:spacing w:after="0" w:line="360" w:lineRule="exact"/>
        <w:jc w:val="center"/>
        <w:rPr>
          <w:rFonts w:eastAsia="Times New Roman" w:cs="Times New Roman"/>
          <w:color w:val="000000"/>
          <w:sz w:val="18"/>
          <w:szCs w:val="18"/>
          <w:lang w:eastAsia="vi-VN"/>
        </w:rPr>
      </w:pPr>
      <w:r w:rsidRPr="00082302">
        <w:rPr>
          <w:rFonts w:eastAsia="Times New Roman" w:cs="Times New Roman"/>
          <w:b/>
          <w:bCs/>
          <w:color w:val="000000"/>
          <w:sz w:val="20"/>
          <w:szCs w:val="20"/>
          <w:lang w:eastAsia="vi-VN"/>
        </w:rPr>
        <w:t>THÔNG TƯ</w:t>
      </w:r>
    </w:p>
    <w:p w:rsidR="00082302" w:rsidRPr="00082302" w:rsidRDefault="00082302" w:rsidP="00082302">
      <w:pPr>
        <w:shd w:val="clear" w:color="auto" w:fill="FFFFFF"/>
        <w:spacing w:after="0" w:line="360" w:lineRule="exact"/>
        <w:jc w:val="center"/>
        <w:rPr>
          <w:rFonts w:eastAsia="Times New Roman" w:cs="Times New Roman"/>
          <w:color w:val="000000"/>
          <w:sz w:val="18"/>
          <w:szCs w:val="18"/>
          <w:lang w:eastAsia="vi-VN"/>
        </w:rPr>
      </w:pPr>
      <w:r w:rsidRPr="00082302">
        <w:rPr>
          <w:rFonts w:eastAsia="Times New Roman" w:cs="Times New Roman"/>
          <w:b/>
          <w:bCs/>
          <w:color w:val="000000"/>
          <w:sz w:val="20"/>
          <w:szCs w:val="20"/>
          <w:lang w:eastAsia="vi-VN"/>
        </w:rPr>
        <w:t>Quy định Hệ thống chỉ tiêu thống kê ngành Tài chính</w:t>
      </w:r>
    </w:p>
    <w:p w:rsidR="00082302" w:rsidRPr="00082302" w:rsidRDefault="00082302" w:rsidP="00082302">
      <w:pPr>
        <w:shd w:val="clear" w:color="auto" w:fill="FFFFFF"/>
        <w:spacing w:after="0" w:line="360" w:lineRule="exact"/>
        <w:ind w:firstLine="562"/>
        <w:jc w:val="both"/>
        <w:rPr>
          <w:rFonts w:eastAsia="Times New Roman" w:cs="Times New Roman"/>
          <w:color w:val="000000"/>
          <w:sz w:val="18"/>
          <w:szCs w:val="18"/>
          <w:lang w:eastAsia="vi-VN"/>
        </w:rPr>
      </w:pPr>
      <w:r w:rsidRPr="00082302">
        <w:rPr>
          <w:rFonts w:eastAsia="Times New Roman" w:cs="Times New Roman"/>
          <w:color w:val="000000"/>
          <w:sz w:val="18"/>
          <w:szCs w:val="18"/>
          <w:lang w:eastAsia="vi-VN"/>
        </w:rPr>
        <w:t> </w:t>
      </w:r>
    </w:p>
    <w:p w:rsidR="00082302" w:rsidRPr="00082302" w:rsidRDefault="00082302" w:rsidP="00082302">
      <w:pPr>
        <w:shd w:val="clear" w:color="auto" w:fill="FFFFFF"/>
        <w:spacing w:after="0" w:line="360" w:lineRule="exact"/>
        <w:ind w:firstLine="562"/>
        <w:jc w:val="both"/>
        <w:rPr>
          <w:rFonts w:eastAsia="Times New Roman" w:cs="Times New Roman"/>
          <w:color w:val="000000"/>
          <w:sz w:val="18"/>
          <w:szCs w:val="18"/>
          <w:lang w:eastAsia="vi-VN"/>
        </w:rPr>
      </w:pPr>
      <w:r w:rsidRPr="00082302">
        <w:rPr>
          <w:rFonts w:eastAsia="Times New Roman" w:cs="Times New Roman"/>
          <w:i/>
          <w:iCs/>
          <w:color w:val="000000"/>
          <w:sz w:val="20"/>
          <w:szCs w:val="20"/>
          <w:lang w:eastAsia="vi-VN"/>
        </w:rPr>
        <w:t>Căn cứ Luật Thống kê số 89/2015/QH13 ngày 23 tháng 11 năm 2015;</w:t>
      </w:r>
    </w:p>
    <w:p w:rsidR="00082302" w:rsidRPr="00082302" w:rsidRDefault="00082302" w:rsidP="00082302">
      <w:pPr>
        <w:shd w:val="clear" w:color="auto" w:fill="FFFFFF"/>
        <w:spacing w:after="0" w:line="360" w:lineRule="exact"/>
        <w:ind w:firstLine="562"/>
        <w:jc w:val="both"/>
        <w:rPr>
          <w:rFonts w:eastAsia="Times New Roman" w:cs="Times New Roman"/>
          <w:color w:val="000000"/>
          <w:sz w:val="18"/>
          <w:szCs w:val="18"/>
          <w:lang w:eastAsia="vi-VN"/>
        </w:rPr>
      </w:pPr>
      <w:r w:rsidRPr="00082302">
        <w:rPr>
          <w:rFonts w:eastAsia="Times New Roman" w:cs="Times New Roman"/>
          <w:i/>
          <w:iCs/>
          <w:color w:val="000000"/>
          <w:sz w:val="20"/>
          <w:szCs w:val="20"/>
          <w:lang w:eastAsia="vi-VN"/>
        </w:rPr>
        <w:t>Căn cứ Nghị định số 94/2016/NĐ-CP ngày 01 tháng 7 năm 2016 của Chính phủ quy định chi tiết và hướng dẫn thi hành một số điều của Luật Thống kê;</w:t>
      </w:r>
    </w:p>
    <w:p w:rsidR="00082302" w:rsidRPr="00082302" w:rsidRDefault="00082302" w:rsidP="00082302">
      <w:pPr>
        <w:shd w:val="clear" w:color="auto" w:fill="FFFFFF"/>
        <w:spacing w:after="0" w:line="360" w:lineRule="exact"/>
        <w:ind w:firstLine="562"/>
        <w:jc w:val="both"/>
        <w:rPr>
          <w:rFonts w:eastAsia="Times New Roman" w:cs="Times New Roman"/>
          <w:color w:val="000000"/>
          <w:sz w:val="18"/>
          <w:szCs w:val="18"/>
          <w:lang w:eastAsia="vi-VN"/>
        </w:rPr>
      </w:pPr>
      <w:r w:rsidRPr="00082302">
        <w:rPr>
          <w:rFonts w:eastAsia="Times New Roman" w:cs="Times New Roman"/>
          <w:i/>
          <w:iCs/>
          <w:color w:val="000000"/>
          <w:sz w:val="20"/>
          <w:szCs w:val="20"/>
          <w:lang w:eastAsia="vi-VN"/>
        </w:rPr>
        <w:t>Căn cứ Nghị định số 97/2016/NĐ-CP ngày 01 tháng 7 năm 2016 của Chính phủ quy định nội dung chỉ tiêu thống kê thuộc hệ thống chỉ tiêu thống kê quốc gia;</w:t>
      </w:r>
    </w:p>
    <w:p w:rsidR="00082302" w:rsidRPr="00082302" w:rsidRDefault="00082302" w:rsidP="00082302">
      <w:pPr>
        <w:shd w:val="clear" w:color="auto" w:fill="FFFFFF"/>
        <w:spacing w:after="0" w:line="360" w:lineRule="exact"/>
        <w:ind w:firstLine="562"/>
        <w:jc w:val="both"/>
        <w:rPr>
          <w:rFonts w:eastAsia="Times New Roman" w:cs="Times New Roman"/>
          <w:color w:val="000000"/>
          <w:sz w:val="18"/>
          <w:szCs w:val="18"/>
          <w:lang w:eastAsia="vi-VN"/>
        </w:rPr>
      </w:pPr>
      <w:r w:rsidRPr="00082302">
        <w:rPr>
          <w:rFonts w:eastAsia="Times New Roman" w:cs="Times New Roman"/>
          <w:i/>
          <w:iCs/>
          <w:color w:val="000000"/>
          <w:sz w:val="20"/>
          <w:szCs w:val="20"/>
          <w:lang w:eastAsia="vi-VN"/>
        </w:rPr>
        <w:t>Căn cứ Nghị định số 85/2017/NĐ-CP ngày 19 tháng 7 năm 2017 của Chính phủ quy định cơ cấu, nhiệm vụ, quyền hạn của hệ thống tổ chức thống kê tập trung và thống kê bộ, cơ quan ngang bộ;</w:t>
      </w:r>
    </w:p>
    <w:p w:rsidR="00082302" w:rsidRPr="00082302" w:rsidRDefault="00082302" w:rsidP="00082302">
      <w:pPr>
        <w:shd w:val="clear" w:color="auto" w:fill="FFFFFF"/>
        <w:spacing w:after="0" w:line="360" w:lineRule="exact"/>
        <w:ind w:firstLine="562"/>
        <w:jc w:val="both"/>
        <w:rPr>
          <w:rFonts w:eastAsia="Times New Roman" w:cs="Times New Roman"/>
          <w:color w:val="000000"/>
          <w:sz w:val="18"/>
          <w:szCs w:val="18"/>
          <w:lang w:eastAsia="vi-VN"/>
        </w:rPr>
      </w:pPr>
      <w:r w:rsidRPr="00082302">
        <w:rPr>
          <w:rFonts w:eastAsia="Times New Roman" w:cs="Times New Roman"/>
          <w:i/>
          <w:iCs/>
          <w:color w:val="000000"/>
          <w:sz w:val="20"/>
          <w:szCs w:val="20"/>
          <w:lang w:eastAsia="vi-VN"/>
        </w:rPr>
        <w:t>Căn cứ Nghị định số 87/2017/NĐ-CP ngày 26 tháng 7 năm 2017 của Chính phủ quy định chức năng, nhiệm vụ, quyền hạn và cơ cấu tổ chức của Bộ Tài chính;</w:t>
      </w:r>
    </w:p>
    <w:p w:rsidR="00082302" w:rsidRPr="00082302" w:rsidRDefault="00082302" w:rsidP="00082302">
      <w:pPr>
        <w:shd w:val="clear" w:color="auto" w:fill="FFFFFF"/>
        <w:spacing w:after="0" w:line="360" w:lineRule="exact"/>
        <w:ind w:firstLine="562"/>
        <w:jc w:val="both"/>
        <w:rPr>
          <w:rFonts w:eastAsia="Times New Roman" w:cs="Times New Roman"/>
          <w:color w:val="000000"/>
          <w:sz w:val="18"/>
          <w:szCs w:val="18"/>
          <w:lang w:eastAsia="vi-VN"/>
        </w:rPr>
      </w:pPr>
      <w:r w:rsidRPr="00082302">
        <w:rPr>
          <w:rFonts w:eastAsia="Times New Roman" w:cs="Times New Roman"/>
          <w:i/>
          <w:iCs/>
          <w:color w:val="000000"/>
          <w:sz w:val="20"/>
          <w:szCs w:val="20"/>
          <w:lang w:eastAsia="vi-VN"/>
        </w:rPr>
        <w:t>Theo đề nghị của Cục trưởng Cục Tin học và Thống kê tài chính,</w:t>
      </w:r>
    </w:p>
    <w:p w:rsidR="00082302" w:rsidRPr="00082302" w:rsidRDefault="00082302" w:rsidP="00082302">
      <w:pPr>
        <w:shd w:val="clear" w:color="auto" w:fill="FFFFFF"/>
        <w:spacing w:after="0" w:line="360" w:lineRule="exact"/>
        <w:ind w:firstLine="562"/>
        <w:jc w:val="both"/>
        <w:rPr>
          <w:rFonts w:eastAsia="Times New Roman" w:cs="Times New Roman"/>
          <w:color w:val="000000"/>
          <w:sz w:val="18"/>
          <w:szCs w:val="18"/>
          <w:lang w:eastAsia="vi-VN"/>
        </w:rPr>
      </w:pPr>
      <w:r w:rsidRPr="00082302">
        <w:rPr>
          <w:rFonts w:eastAsia="Times New Roman" w:cs="Times New Roman"/>
          <w:i/>
          <w:iCs/>
          <w:color w:val="000000"/>
          <w:sz w:val="20"/>
          <w:szCs w:val="20"/>
          <w:lang w:eastAsia="vi-VN"/>
        </w:rPr>
        <w:t>Bộ trưởng Bộ Tài chính ban hành Thông tư quy định Hệ thống chỉ tiêu thống kê ngành Tài chính.</w:t>
      </w:r>
    </w:p>
    <w:p w:rsidR="00082302" w:rsidRPr="00082302" w:rsidRDefault="00082302" w:rsidP="00082302">
      <w:pPr>
        <w:shd w:val="clear" w:color="auto" w:fill="FFFFFF"/>
        <w:spacing w:after="0" w:line="360" w:lineRule="exact"/>
        <w:ind w:left="1296" w:hanging="1008"/>
        <w:jc w:val="both"/>
        <w:rPr>
          <w:rFonts w:eastAsia="Times New Roman" w:cs="Times New Roman"/>
          <w:b/>
          <w:bCs/>
          <w:i/>
          <w:iCs/>
          <w:color w:val="000000"/>
          <w:sz w:val="18"/>
          <w:szCs w:val="18"/>
          <w:lang w:eastAsia="vi-VN"/>
        </w:rPr>
      </w:pPr>
      <w:r w:rsidRPr="00082302">
        <w:rPr>
          <w:rFonts w:eastAsia="Times New Roman" w:cs="Times New Roman"/>
          <w:b/>
          <w:bCs/>
          <w:i/>
          <w:iCs/>
          <w:color w:val="000000"/>
          <w:sz w:val="18"/>
          <w:szCs w:val="18"/>
          <w:lang w:eastAsia="vi-VN"/>
        </w:rPr>
        <w:t>? </w:t>
      </w:r>
      <w:r w:rsidRPr="00082302">
        <w:rPr>
          <w:rFonts w:eastAsia="Times New Roman" w:cs="Times New Roman"/>
          <w:b/>
          <w:bCs/>
          <w:color w:val="000000"/>
          <w:sz w:val="20"/>
          <w:szCs w:val="20"/>
          <w:lang w:eastAsia="vi-VN"/>
        </w:rPr>
        <w:t>Điều 1. Phạm vi điều chỉnh</w:t>
      </w:r>
    </w:p>
    <w:p w:rsidR="00082302" w:rsidRPr="00082302" w:rsidRDefault="00082302" w:rsidP="00082302">
      <w:pPr>
        <w:shd w:val="clear" w:color="auto" w:fill="FFFFFF"/>
        <w:spacing w:after="0" w:line="360" w:lineRule="exact"/>
        <w:ind w:firstLine="562"/>
        <w:jc w:val="both"/>
        <w:rPr>
          <w:rFonts w:eastAsia="Times New Roman" w:cs="Times New Roman"/>
          <w:color w:val="000000"/>
          <w:sz w:val="18"/>
          <w:szCs w:val="18"/>
          <w:lang w:eastAsia="vi-VN"/>
        </w:rPr>
      </w:pPr>
      <w:r w:rsidRPr="00082302">
        <w:rPr>
          <w:rFonts w:eastAsia="Times New Roman" w:cs="Times New Roman"/>
          <w:color w:val="000000"/>
          <w:sz w:val="20"/>
          <w:szCs w:val="20"/>
          <w:lang w:eastAsia="vi-VN"/>
        </w:rPr>
        <w:t>1. Hệ thống chỉ tiêu thống kê ngành Tài chính (ban hành kèm theo Thông tư này), bao gồm:</w:t>
      </w:r>
    </w:p>
    <w:p w:rsidR="00082302" w:rsidRPr="00082302" w:rsidRDefault="00082302" w:rsidP="00082302">
      <w:pPr>
        <w:shd w:val="clear" w:color="auto" w:fill="FFFFFF"/>
        <w:spacing w:after="0" w:line="360" w:lineRule="exact"/>
        <w:ind w:firstLine="562"/>
        <w:jc w:val="both"/>
        <w:rPr>
          <w:rFonts w:eastAsia="Times New Roman" w:cs="Times New Roman"/>
          <w:color w:val="000000"/>
          <w:sz w:val="18"/>
          <w:szCs w:val="18"/>
          <w:lang w:eastAsia="vi-VN"/>
        </w:rPr>
      </w:pPr>
      <w:r w:rsidRPr="00082302">
        <w:rPr>
          <w:rFonts w:eastAsia="Times New Roman" w:cs="Times New Roman"/>
          <w:color w:val="000000"/>
          <w:sz w:val="20"/>
          <w:szCs w:val="20"/>
          <w:lang w:eastAsia="vi-VN"/>
        </w:rPr>
        <w:t>a) Danh mục Hệ thống chỉ tiêu thống kê ngành Tài chính quy định tại Phụ lục I;</w:t>
      </w:r>
    </w:p>
    <w:p w:rsidR="00082302" w:rsidRPr="00082302" w:rsidRDefault="00082302" w:rsidP="00082302">
      <w:pPr>
        <w:shd w:val="clear" w:color="auto" w:fill="FFFFFF"/>
        <w:spacing w:after="0" w:line="360" w:lineRule="exact"/>
        <w:ind w:firstLine="562"/>
        <w:jc w:val="both"/>
        <w:rPr>
          <w:rFonts w:eastAsia="Times New Roman" w:cs="Times New Roman"/>
          <w:color w:val="000000"/>
          <w:sz w:val="18"/>
          <w:szCs w:val="18"/>
          <w:lang w:eastAsia="vi-VN"/>
        </w:rPr>
      </w:pPr>
      <w:r w:rsidRPr="00082302">
        <w:rPr>
          <w:rFonts w:eastAsia="Times New Roman" w:cs="Times New Roman"/>
          <w:color w:val="000000"/>
          <w:sz w:val="20"/>
          <w:szCs w:val="20"/>
          <w:lang w:eastAsia="vi-VN"/>
        </w:rPr>
        <w:t>b) Nội dung Hệ thống chỉ tiêu thống kê ngành Tài chính quy định tại Phụ lục II.</w:t>
      </w:r>
    </w:p>
    <w:p w:rsidR="00082302" w:rsidRPr="00082302" w:rsidRDefault="00082302" w:rsidP="00082302">
      <w:pPr>
        <w:shd w:val="clear" w:color="auto" w:fill="FFFFFF"/>
        <w:spacing w:after="0" w:line="360" w:lineRule="exact"/>
        <w:ind w:firstLine="562"/>
        <w:jc w:val="both"/>
        <w:rPr>
          <w:rFonts w:eastAsia="Times New Roman" w:cs="Times New Roman"/>
          <w:color w:val="000000"/>
          <w:sz w:val="18"/>
          <w:szCs w:val="18"/>
          <w:lang w:eastAsia="vi-VN"/>
        </w:rPr>
      </w:pPr>
      <w:r w:rsidRPr="00082302">
        <w:rPr>
          <w:rFonts w:eastAsia="Times New Roman" w:cs="Times New Roman"/>
          <w:color w:val="000000"/>
          <w:sz w:val="20"/>
          <w:szCs w:val="20"/>
          <w:lang w:eastAsia="vi-VN"/>
        </w:rPr>
        <w:t>2. Hệ thống chỉ tiêu thống kê ngành Tài chính là tập hợp các chỉ tiêu thống kê phản ánh tình hình, kết quả hoạt động chủ yếu của ngành Tài chính và các đặc điểm cơ bản của đối tượng quản lý của ngành Tài chính nhằm phục vụ công tác chỉ đạo điều hành của Bộ Tài chính, các Sở Tài chính và các cơ quan Nhà nước; làm cơ sở để xây dựng chế độ báo cáo thống kê của ngành Tài chính; làm cơ sở cho việc đánh giá, dự báo tình hình, hoạch định chiến lược, chính sách phát triển các lĩnh vực thuộc thẩm quyền quản lý của ngành Tài chính.</w:t>
      </w:r>
    </w:p>
    <w:p w:rsidR="00082302" w:rsidRPr="00082302" w:rsidRDefault="00082302" w:rsidP="00082302">
      <w:pPr>
        <w:shd w:val="clear" w:color="auto" w:fill="FFFFFF"/>
        <w:spacing w:after="0" w:line="360" w:lineRule="exact"/>
        <w:ind w:left="1296" w:hanging="1008"/>
        <w:jc w:val="both"/>
        <w:rPr>
          <w:rFonts w:eastAsia="Times New Roman" w:cs="Times New Roman"/>
          <w:b/>
          <w:bCs/>
          <w:i/>
          <w:iCs/>
          <w:color w:val="000000"/>
          <w:sz w:val="18"/>
          <w:szCs w:val="18"/>
          <w:lang w:eastAsia="vi-VN"/>
        </w:rPr>
      </w:pPr>
      <w:r w:rsidRPr="00082302">
        <w:rPr>
          <w:rFonts w:eastAsia="Times New Roman" w:cs="Times New Roman"/>
          <w:b/>
          <w:bCs/>
          <w:i/>
          <w:iCs/>
          <w:color w:val="000000"/>
          <w:sz w:val="18"/>
          <w:szCs w:val="18"/>
          <w:lang w:eastAsia="vi-VN"/>
        </w:rPr>
        <w:t>? </w:t>
      </w:r>
      <w:r w:rsidRPr="00082302">
        <w:rPr>
          <w:rFonts w:eastAsia="Times New Roman" w:cs="Times New Roman"/>
          <w:b/>
          <w:bCs/>
          <w:color w:val="000000"/>
          <w:sz w:val="20"/>
          <w:szCs w:val="20"/>
          <w:lang w:eastAsia="vi-VN"/>
        </w:rPr>
        <w:t>Điều 2. Đối tượng áp dụng</w:t>
      </w:r>
    </w:p>
    <w:p w:rsidR="00082302" w:rsidRPr="00082302" w:rsidRDefault="00082302" w:rsidP="00082302">
      <w:pPr>
        <w:shd w:val="clear" w:color="auto" w:fill="FFFFFF"/>
        <w:spacing w:after="0" w:line="360" w:lineRule="exact"/>
        <w:ind w:firstLine="562"/>
        <w:jc w:val="both"/>
        <w:rPr>
          <w:rFonts w:eastAsia="Times New Roman" w:cs="Times New Roman"/>
          <w:color w:val="000000"/>
          <w:sz w:val="18"/>
          <w:szCs w:val="18"/>
          <w:lang w:eastAsia="vi-VN"/>
        </w:rPr>
      </w:pPr>
      <w:r w:rsidRPr="00082302">
        <w:rPr>
          <w:rFonts w:eastAsia="Times New Roman" w:cs="Times New Roman"/>
          <w:color w:val="000000"/>
          <w:sz w:val="20"/>
          <w:szCs w:val="20"/>
          <w:lang w:eastAsia="vi-VN"/>
        </w:rPr>
        <w:t>Thông tư này áp dụng đối với các đối tượng sau:</w:t>
      </w:r>
    </w:p>
    <w:p w:rsidR="00082302" w:rsidRPr="00082302" w:rsidRDefault="00082302" w:rsidP="00082302">
      <w:pPr>
        <w:shd w:val="clear" w:color="auto" w:fill="FFFFFF"/>
        <w:spacing w:after="0" w:line="360" w:lineRule="exact"/>
        <w:ind w:firstLine="562"/>
        <w:jc w:val="both"/>
        <w:rPr>
          <w:rFonts w:eastAsia="Times New Roman" w:cs="Times New Roman"/>
          <w:color w:val="000000"/>
          <w:sz w:val="18"/>
          <w:szCs w:val="18"/>
          <w:lang w:eastAsia="vi-VN"/>
        </w:rPr>
      </w:pPr>
      <w:r w:rsidRPr="00082302">
        <w:rPr>
          <w:rFonts w:eastAsia="Times New Roman" w:cs="Times New Roman"/>
          <w:color w:val="000000"/>
          <w:sz w:val="20"/>
          <w:szCs w:val="20"/>
          <w:lang w:eastAsia="vi-VN"/>
        </w:rPr>
        <w:t>1. Các đơn vị thuộc, trực thuộc Bộ Tài chính.</w:t>
      </w:r>
    </w:p>
    <w:p w:rsidR="00082302" w:rsidRPr="00082302" w:rsidRDefault="00082302" w:rsidP="00082302">
      <w:pPr>
        <w:shd w:val="clear" w:color="auto" w:fill="FFFFFF"/>
        <w:spacing w:after="0" w:line="360" w:lineRule="exact"/>
        <w:ind w:firstLine="562"/>
        <w:jc w:val="both"/>
        <w:rPr>
          <w:rFonts w:eastAsia="Times New Roman" w:cs="Times New Roman"/>
          <w:color w:val="000000"/>
          <w:sz w:val="18"/>
          <w:szCs w:val="18"/>
          <w:lang w:eastAsia="vi-VN"/>
        </w:rPr>
      </w:pPr>
      <w:r w:rsidRPr="00082302">
        <w:rPr>
          <w:rFonts w:eastAsia="Times New Roman" w:cs="Times New Roman"/>
          <w:color w:val="000000"/>
          <w:sz w:val="20"/>
          <w:szCs w:val="20"/>
          <w:lang w:eastAsia="vi-VN"/>
        </w:rPr>
        <w:t>2. Sở Tài chính các tỉnh, thành phố trực thuộc trung ương.</w:t>
      </w:r>
    </w:p>
    <w:p w:rsidR="00082302" w:rsidRPr="00082302" w:rsidRDefault="00082302" w:rsidP="00082302">
      <w:pPr>
        <w:shd w:val="clear" w:color="auto" w:fill="FFFFFF"/>
        <w:spacing w:after="0" w:line="360" w:lineRule="exact"/>
        <w:ind w:left="1296" w:hanging="1008"/>
        <w:jc w:val="both"/>
        <w:rPr>
          <w:rFonts w:eastAsia="Times New Roman" w:cs="Times New Roman"/>
          <w:b/>
          <w:bCs/>
          <w:i/>
          <w:iCs/>
          <w:color w:val="000000"/>
          <w:sz w:val="18"/>
          <w:szCs w:val="18"/>
          <w:lang w:eastAsia="vi-VN"/>
        </w:rPr>
      </w:pPr>
      <w:r w:rsidRPr="00082302">
        <w:rPr>
          <w:rFonts w:eastAsia="Times New Roman" w:cs="Times New Roman"/>
          <w:b/>
          <w:bCs/>
          <w:i/>
          <w:iCs/>
          <w:color w:val="000000"/>
          <w:sz w:val="18"/>
          <w:szCs w:val="18"/>
          <w:lang w:eastAsia="vi-VN"/>
        </w:rPr>
        <w:t>? </w:t>
      </w:r>
      <w:r w:rsidRPr="00082302">
        <w:rPr>
          <w:rFonts w:eastAsia="Times New Roman" w:cs="Times New Roman"/>
          <w:b/>
          <w:bCs/>
          <w:color w:val="000000"/>
          <w:sz w:val="20"/>
          <w:szCs w:val="20"/>
          <w:lang w:eastAsia="vi-VN"/>
        </w:rPr>
        <w:t>Điều 3. Tổ chức thực hiện</w:t>
      </w:r>
    </w:p>
    <w:p w:rsidR="00082302" w:rsidRPr="00082302" w:rsidRDefault="00082302" w:rsidP="00082302">
      <w:pPr>
        <w:shd w:val="clear" w:color="auto" w:fill="FFFFFF"/>
        <w:spacing w:after="0" w:line="360" w:lineRule="exact"/>
        <w:ind w:firstLine="562"/>
        <w:jc w:val="both"/>
        <w:rPr>
          <w:rFonts w:eastAsia="Times New Roman" w:cs="Times New Roman"/>
          <w:color w:val="000000"/>
          <w:sz w:val="18"/>
          <w:szCs w:val="18"/>
          <w:lang w:eastAsia="vi-VN"/>
        </w:rPr>
      </w:pPr>
      <w:r w:rsidRPr="00082302">
        <w:rPr>
          <w:rFonts w:eastAsia="Times New Roman" w:cs="Times New Roman"/>
          <w:color w:val="000000"/>
          <w:sz w:val="20"/>
          <w:szCs w:val="20"/>
          <w:lang w:eastAsia="vi-VN"/>
        </w:rPr>
        <w:t>1. Trách nhiệm của Cục Tin học và Thống kê tài chính</w:t>
      </w:r>
    </w:p>
    <w:p w:rsidR="00082302" w:rsidRPr="00082302" w:rsidRDefault="00082302" w:rsidP="00082302">
      <w:pPr>
        <w:shd w:val="clear" w:color="auto" w:fill="FFFFFF"/>
        <w:spacing w:after="0" w:line="360" w:lineRule="exact"/>
        <w:ind w:firstLine="562"/>
        <w:jc w:val="both"/>
        <w:rPr>
          <w:rFonts w:eastAsia="Times New Roman" w:cs="Times New Roman"/>
          <w:color w:val="000000"/>
          <w:sz w:val="18"/>
          <w:szCs w:val="18"/>
          <w:lang w:eastAsia="vi-VN"/>
        </w:rPr>
      </w:pPr>
      <w:r w:rsidRPr="00082302">
        <w:rPr>
          <w:rFonts w:eastAsia="Times New Roman" w:cs="Times New Roman"/>
          <w:color w:val="000000"/>
          <w:sz w:val="20"/>
          <w:szCs w:val="20"/>
          <w:lang w:eastAsia="vi-VN"/>
        </w:rPr>
        <w:t>a) Chủ trì tổng hợp thông tin thống kê được quy định trong Hệ thống chỉ tiêu thống kê ngành Tài chính;</w:t>
      </w:r>
    </w:p>
    <w:p w:rsidR="00082302" w:rsidRPr="00082302" w:rsidRDefault="00082302" w:rsidP="00082302">
      <w:pPr>
        <w:shd w:val="clear" w:color="auto" w:fill="FFFFFF"/>
        <w:spacing w:after="0" w:line="360" w:lineRule="exact"/>
        <w:ind w:firstLine="562"/>
        <w:jc w:val="both"/>
        <w:rPr>
          <w:rFonts w:eastAsia="Times New Roman" w:cs="Times New Roman"/>
          <w:color w:val="000000"/>
          <w:sz w:val="18"/>
          <w:szCs w:val="18"/>
          <w:lang w:eastAsia="vi-VN"/>
        </w:rPr>
      </w:pPr>
      <w:r w:rsidRPr="00082302">
        <w:rPr>
          <w:rFonts w:eastAsia="Times New Roman" w:cs="Times New Roman"/>
          <w:color w:val="000000"/>
          <w:sz w:val="20"/>
          <w:szCs w:val="20"/>
          <w:lang w:eastAsia="vi-VN"/>
        </w:rPr>
        <w:t>b) Chủ trì, phối hợp với các đơn vị liên quan báo cáo Bộ trưởng Bộ Tài chính sửa đổi, bổ sung Hệ thống chỉ tiêu thống kê ngành Tài chính phù hợp với tình hình thực tế, phù hợp với quy định của pháp luật và phù hợp với thông lệ quốc tế;</w:t>
      </w:r>
    </w:p>
    <w:p w:rsidR="00082302" w:rsidRPr="00082302" w:rsidRDefault="00082302" w:rsidP="00082302">
      <w:pPr>
        <w:shd w:val="clear" w:color="auto" w:fill="FFFFFF"/>
        <w:spacing w:after="0" w:line="360" w:lineRule="exact"/>
        <w:ind w:firstLine="562"/>
        <w:jc w:val="both"/>
        <w:rPr>
          <w:rFonts w:eastAsia="Times New Roman" w:cs="Times New Roman"/>
          <w:color w:val="000000"/>
          <w:sz w:val="18"/>
          <w:szCs w:val="18"/>
          <w:lang w:eastAsia="vi-VN"/>
        </w:rPr>
      </w:pPr>
      <w:r w:rsidRPr="00082302">
        <w:rPr>
          <w:rFonts w:eastAsia="Times New Roman" w:cs="Times New Roman"/>
          <w:color w:val="000000"/>
          <w:sz w:val="20"/>
          <w:szCs w:val="20"/>
          <w:lang w:eastAsia="vi-VN"/>
        </w:rPr>
        <w:lastRenderedPageBreak/>
        <w:t>c) Chủ trì việc xây dựng chế độ báo cáo thống kê ngành Tài chính trình Bộ trưởng Bộ Tài chính ban hành.</w:t>
      </w:r>
    </w:p>
    <w:p w:rsidR="00082302" w:rsidRPr="00082302" w:rsidRDefault="00082302" w:rsidP="00082302">
      <w:pPr>
        <w:shd w:val="clear" w:color="auto" w:fill="FFFFFF"/>
        <w:spacing w:after="0" w:line="360" w:lineRule="exact"/>
        <w:ind w:firstLine="562"/>
        <w:jc w:val="both"/>
        <w:rPr>
          <w:rFonts w:eastAsia="Times New Roman" w:cs="Times New Roman"/>
          <w:color w:val="000000"/>
          <w:sz w:val="18"/>
          <w:szCs w:val="18"/>
          <w:lang w:eastAsia="vi-VN"/>
        </w:rPr>
      </w:pPr>
      <w:r w:rsidRPr="00082302">
        <w:rPr>
          <w:rFonts w:eastAsia="Times New Roman" w:cs="Times New Roman"/>
          <w:color w:val="000000"/>
          <w:sz w:val="20"/>
          <w:szCs w:val="20"/>
          <w:lang w:eastAsia="vi-VN"/>
        </w:rPr>
        <w:t>2. Các đơn vị liên quan theo phạm vi nhiệm vụ, quyền hạn có trách nhiệm</w:t>
      </w:r>
    </w:p>
    <w:p w:rsidR="00082302" w:rsidRPr="00082302" w:rsidRDefault="00082302" w:rsidP="00082302">
      <w:pPr>
        <w:shd w:val="clear" w:color="auto" w:fill="FFFFFF"/>
        <w:spacing w:after="0" w:line="360" w:lineRule="exact"/>
        <w:ind w:firstLine="562"/>
        <w:jc w:val="both"/>
        <w:rPr>
          <w:rFonts w:eastAsia="Times New Roman" w:cs="Times New Roman"/>
          <w:color w:val="000000"/>
          <w:sz w:val="18"/>
          <w:szCs w:val="18"/>
          <w:lang w:eastAsia="vi-VN"/>
        </w:rPr>
      </w:pPr>
      <w:r w:rsidRPr="00082302">
        <w:rPr>
          <w:rFonts w:eastAsia="Times New Roman" w:cs="Times New Roman"/>
          <w:color w:val="000000"/>
          <w:sz w:val="20"/>
          <w:szCs w:val="20"/>
          <w:lang w:eastAsia="vi-VN"/>
        </w:rPr>
        <w:t>a) Tổ chức triển khai thu thập, tổng hợp các chỉ tiêu được phân công trong Hệ thống chỉ tiêu thống kê ngành Tài chính theo quy định;</w:t>
      </w:r>
    </w:p>
    <w:p w:rsidR="00082302" w:rsidRPr="00082302" w:rsidRDefault="00082302" w:rsidP="00082302">
      <w:pPr>
        <w:shd w:val="clear" w:color="auto" w:fill="FFFFFF"/>
        <w:spacing w:after="0" w:line="360" w:lineRule="exact"/>
        <w:ind w:firstLine="562"/>
        <w:jc w:val="both"/>
        <w:rPr>
          <w:rFonts w:eastAsia="Times New Roman" w:cs="Times New Roman"/>
          <w:color w:val="000000"/>
          <w:sz w:val="18"/>
          <w:szCs w:val="18"/>
          <w:lang w:eastAsia="vi-VN"/>
        </w:rPr>
      </w:pPr>
      <w:r w:rsidRPr="00082302">
        <w:rPr>
          <w:rFonts w:eastAsia="Times New Roman" w:cs="Times New Roman"/>
          <w:color w:val="000000"/>
          <w:sz w:val="20"/>
          <w:szCs w:val="20"/>
          <w:lang w:eastAsia="vi-VN"/>
        </w:rPr>
        <w:t>b) Phối hợp với Cục Tin học và Thống kê tài chính đề xuất báo cáo Bộ trưởng Bộ Tài chính sửa đổi, bổ sung Hệ thống chỉ tiêu thống kê ngành Tài chính;</w:t>
      </w:r>
    </w:p>
    <w:p w:rsidR="00082302" w:rsidRPr="00082302" w:rsidRDefault="00082302" w:rsidP="00082302">
      <w:pPr>
        <w:shd w:val="clear" w:color="auto" w:fill="FFFFFF"/>
        <w:spacing w:after="0" w:line="360" w:lineRule="exact"/>
        <w:ind w:firstLine="562"/>
        <w:jc w:val="both"/>
        <w:rPr>
          <w:rFonts w:eastAsia="Times New Roman" w:cs="Times New Roman"/>
          <w:color w:val="000000"/>
          <w:sz w:val="18"/>
          <w:szCs w:val="18"/>
          <w:lang w:eastAsia="vi-VN"/>
        </w:rPr>
      </w:pPr>
      <w:r w:rsidRPr="00082302">
        <w:rPr>
          <w:rFonts w:eastAsia="Times New Roman" w:cs="Times New Roman"/>
          <w:color w:val="000000"/>
          <w:sz w:val="20"/>
          <w:szCs w:val="20"/>
          <w:lang w:eastAsia="vi-VN"/>
        </w:rPr>
        <w:t>c) Phối hợp với Cục Tin học và Thống kê tài chính xây dựng chế độ báo cáo thống kê ngành Tài chính trình Bộ trưởng Bộ Tài chính ban hành.</w:t>
      </w:r>
    </w:p>
    <w:p w:rsidR="00082302" w:rsidRPr="00082302" w:rsidRDefault="00082302" w:rsidP="00082302">
      <w:pPr>
        <w:shd w:val="clear" w:color="auto" w:fill="FFFFFF"/>
        <w:spacing w:after="0" w:line="360" w:lineRule="exact"/>
        <w:ind w:left="1296" w:firstLine="562"/>
        <w:jc w:val="both"/>
        <w:rPr>
          <w:rFonts w:eastAsia="Times New Roman" w:cs="Times New Roman"/>
          <w:b/>
          <w:bCs/>
          <w:i/>
          <w:iCs/>
          <w:color w:val="000000"/>
          <w:sz w:val="18"/>
          <w:szCs w:val="18"/>
          <w:lang w:eastAsia="vi-VN"/>
        </w:rPr>
      </w:pPr>
      <w:r w:rsidRPr="00082302">
        <w:rPr>
          <w:rFonts w:eastAsia="Times New Roman" w:cs="Times New Roman"/>
          <w:b/>
          <w:bCs/>
          <w:i/>
          <w:iCs/>
          <w:color w:val="000000"/>
          <w:sz w:val="18"/>
          <w:szCs w:val="18"/>
          <w:lang w:eastAsia="vi-VN"/>
        </w:rPr>
        <w:t>? </w:t>
      </w:r>
      <w:r w:rsidRPr="00082302">
        <w:rPr>
          <w:rFonts w:eastAsia="Times New Roman" w:cs="Times New Roman"/>
          <w:b/>
          <w:bCs/>
          <w:color w:val="000000"/>
          <w:sz w:val="20"/>
          <w:szCs w:val="20"/>
          <w:lang w:eastAsia="vi-VN"/>
        </w:rPr>
        <w:t>Điều 4. Hiệu lực thi hành</w:t>
      </w:r>
    </w:p>
    <w:p w:rsidR="00082302" w:rsidRPr="00082302" w:rsidRDefault="00082302" w:rsidP="00082302">
      <w:pPr>
        <w:shd w:val="clear" w:color="auto" w:fill="FFFFFF"/>
        <w:spacing w:after="0" w:line="360" w:lineRule="exact"/>
        <w:ind w:firstLine="562"/>
        <w:jc w:val="both"/>
        <w:rPr>
          <w:rFonts w:eastAsia="Times New Roman" w:cs="Times New Roman"/>
          <w:color w:val="000000"/>
          <w:sz w:val="18"/>
          <w:szCs w:val="18"/>
          <w:lang w:eastAsia="vi-VN"/>
        </w:rPr>
      </w:pPr>
      <w:r w:rsidRPr="00082302">
        <w:rPr>
          <w:rFonts w:eastAsia="Times New Roman" w:cs="Times New Roman"/>
          <w:color w:val="000000"/>
          <w:sz w:val="20"/>
          <w:szCs w:val="20"/>
          <w:lang w:eastAsia="vi-VN"/>
        </w:rPr>
        <w:t>1. Thông tư này có hiệu lực thi hành từ ngày tháng năm 2018.</w:t>
      </w:r>
    </w:p>
    <w:p w:rsidR="00082302" w:rsidRPr="00082302" w:rsidRDefault="00082302" w:rsidP="00082302">
      <w:pPr>
        <w:shd w:val="clear" w:color="auto" w:fill="FFFFFF"/>
        <w:spacing w:after="0" w:line="360" w:lineRule="exact"/>
        <w:ind w:firstLine="562"/>
        <w:jc w:val="both"/>
        <w:rPr>
          <w:rFonts w:eastAsia="Times New Roman" w:cs="Times New Roman"/>
          <w:color w:val="000000"/>
          <w:sz w:val="18"/>
          <w:szCs w:val="18"/>
          <w:lang w:eastAsia="vi-VN"/>
        </w:rPr>
      </w:pPr>
      <w:r w:rsidRPr="00082302">
        <w:rPr>
          <w:rFonts w:eastAsia="Times New Roman" w:cs="Times New Roman"/>
          <w:color w:val="000000"/>
          <w:sz w:val="20"/>
          <w:szCs w:val="20"/>
          <w:lang w:eastAsia="vi-VN"/>
        </w:rPr>
        <w:t>2. Chánh Văn phòng Bộ Tài chính, Cục trưởng Cục Tin học và thống kê tài chính và Thủ trưởng các đơn vị liên quan chịu trách nhiệm thực hiện Thông tư này.</w:t>
      </w:r>
    </w:p>
    <w:p w:rsidR="00082302" w:rsidRDefault="00082302" w:rsidP="00082302">
      <w:pPr>
        <w:shd w:val="clear" w:color="auto" w:fill="FFFFFF"/>
        <w:spacing w:after="0" w:line="360" w:lineRule="exact"/>
        <w:ind w:firstLine="562"/>
        <w:jc w:val="both"/>
        <w:rPr>
          <w:rFonts w:eastAsia="Times New Roman" w:cs="Times New Roman"/>
          <w:color w:val="000000"/>
          <w:sz w:val="20"/>
          <w:szCs w:val="20"/>
          <w:lang w:val="en-US" w:eastAsia="vi-VN"/>
        </w:rPr>
      </w:pPr>
      <w:r w:rsidRPr="00082302">
        <w:rPr>
          <w:rFonts w:eastAsia="Times New Roman" w:cs="Times New Roman"/>
          <w:color w:val="000000"/>
          <w:sz w:val="20"/>
          <w:szCs w:val="20"/>
          <w:lang w:eastAsia="vi-VN"/>
        </w:rPr>
        <w:t>3. Trong quá trình thực hiện, nếu có phát sinh vướng mắc, đề nghị cơ quan, đơn vị phản ánh kịp thời về Bộ Tài chính để nghiên cứu, xem xét sửa đổi, bổ sung cho phù hợp./.</w:t>
      </w:r>
    </w:p>
    <w:p w:rsidR="00082302" w:rsidRPr="00082302" w:rsidRDefault="00082302" w:rsidP="00082302">
      <w:pPr>
        <w:shd w:val="clear" w:color="auto" w:fill="FFFFFF"/>
        <w:spacing w:after="0" w:line="360" w:lineRule="exact"/>
        <w:ind w:firstLine="562"/>
        <w:jc w:val="both"/>
        <w:rPr>
          <w:rFonts w:eastAsia="Times New Roman" w:cs="Times New Roman"/>
          <w:color w:val="000000"/>
          <w:sz w:val="18"/>
          <w:szCs w:val="18"/>
          <w:lang w:val="en-US" w:eastAsia="vi-VN"/>
        </w:rPr>
      </w:pPr>
    </w:p>
    <w:tbl>
      <w:tblPr>
        <w:tblW w:w="9240" w:type="dxa"/>
        <w:shd w:val="clear" w:color="auto" w:fill="FFFFFF"/>
        <w:tblCellMar>
          <w:top w:w="15" w:type="dxa"/>
          <w:left w:w="15" w:type="dxa"/>
          <w:bottom w:w="15" w:type="dxa"/>
          <w:right w:w="15" w:type="dxa"/>
        </w:tblCellMar>
        <w:tblLook w:val="04A0"/>
      </w:tblPr>
      <w:tblGrid>
        <w:gridCol w:w="5544"/>
        <w:gridCol w:w="3696"/>
      </w:tblGrid>
      <w:tr w:rsidR="00082302" w:rsidRPr="00082302" w:rsidTr="00082302">
        <w:trPr>
          <w:trHeight w:val="284"/>
        </w:trPr>
        <w:tc>
          <w:tcPr>
            <w:tcW w:w="5544" w:type="dxa"/>
            <w:shd w:val="clear" w:color="auto" w:fill="FFFFFF"/>
            <w:hideMark/>
          </w:tcPr>
          <w:p w:rsidR="00082302" w:rsidRPr="00082302" w:rsidRDefault="00082302" w:rsidP="00082302">
            <w:pPr>
              <w:spacing w:after="0" w:line="300" w:lineRule="exact"/>
              <w:jc w:val="both"/>
              <w:rPr>
                <w:rFonts w:ascii="Arial" w:eastAsia="Times New Roman" w:hAnsi="Arial" w:cs="Arial"/>
                <w:color w:val="000000"/>
                <w:sz w:val="18"/>
                <w:szCs w:val="18"/>
                <w:lang w:eastAsia="vi-VN"/>
              </w:rPr>
            </w:pPr>
            <w:r w:rsidRPr="00082302">
              <w:rPr>
                <w:rFonts w:ascii="Arial" w:eastAsia="Times New Roman" w:hAnsi="Arial" w:cs="Arial"/>
                <w:b/>
                <w:bCs/>
                <w:i/>
                <w:iCs/>
                <w:color w:val="000000"/>
                <w:sz w:val="20"/>
                <w:szCs w:val="20"/>
                <w:lang w:eastAsia="vi-VN"/>
              </w:rPr>
              <w:t>Nơi nhận:</w:t>
            </w:r>
          </w:p>
          <w:p w:rsidR="00082302" w:rsidRPr="00082302" w:rsidRDefault="00082302" w:rsidP="00082302">
            <w:pPr>
              <w:spacing w:after="0" w:line="300" w:lineRule="exact"/>
              <w:jc w:val="both"/>
              <w:rPr>
                <w:rFonts w:ascii="Arial" w:eastAsia="Times New Roman" w:hAnsi="Arial" w:cs="Arial"/>
                <w:color w:val="000000"/>
                <w:sz w:val="18"/>
                <w:szCs w:val="18"/>
                <w:lang w:eastAsia="vi-VN"/>
              </w:rPr>
            </w:pPr>
            <w:r w:rsidRPr="00082302">
              <w:rPr>
                <w:rFonts w:ascii="Arial" w:eastAsia="Times New Roman" w:hAnsi="Arial" w:cs="Arial"/>
                <w:color w:val="000000"/>
                <w:sz w:val="20"/>
                <w:szCs w:val="20"/>
                <w:lang w:eastAsia="vi-VN"/>
              </w:rPr>
              <w:t>- Văn phòng Tổng Bí thư;</w:t>
            </w:r>
          </w:p>
          <w:p w:rsidR="00082302" w:rsidRPr="00082302" w:rsidRDefault="00082302" w:rsidP="00082302">
            <w:pPr>
              <w:spacing w:after="0" w:line="300" w:lineRule="exact"/>
              <w:jc w:val="both"/>
              <w:rPr>
                <w:rFonts w:ascii="Arial" w:eastAsia="Times New Roman" w:hAnsi="Arial" w:cs="Arial"/>
                <w:color w:val="000000"/>
                <w:sz w:val="18"/>
                <w:szCs w:val="18"/>
                <w:lang w:eastAsia="vi-VN"/>
              </w:rPr>
            </w:pPr>
            <w:r w:rsidRPr="00082302">
              <w:rPr>
                <w:rFonts w:ascii="Arial" w:eastAsia="Times New Roman" w:hAnsi="Arial" w:cs="Arial"/>
                <w:color w:val="000000"/>
                <w:sz w:val="20"/>
                <w:szCs w:val="20"/>
                <w:lang w:eastAsia="vi-VN"/>
              </w:rPr>
              <w:t>- Văn phòng Trung ương và các Ban của Đảng;</w:t>
            </w:r>
          </w:p>
          <w:p w:rsidR="00082302" w:rsidRPr="00082302" w:rsidRDefault="00082302" w:rsidP="00082302">
            <w:pPr>
              <w:spacing w:after="0" w:line="300" w:lineRule="exact"/>
              <w:jc w:val="both"/>
              <w:rPr>
                <w:rFonts w:ascii="Arial" w:eastAsia="Times New Roman" w:hAnsi="Arial" w:cs="Arial"/>
                <w:color w:val="000000"/>
                <w:sz w:val="18"/>
                <w:szCs w:val="18"/>
                <w:lang w:eastAsia="vi-VN"/>
              </w:rPr>
            </w:pPr>
            <w:r w:rsidRPr="00082302">
              <w:rPr>
                <w:rFonts w:ascii="Arial" w:eastAsia="Times New Roman" w:hAnsi="Arial" w:cs="Arial"/>
                <w:color w:val="000000"/>
                <w:sz w:val="20"/>
                <w:szCs w:val="20"/>
                <w:lang w:eastAsia="vi-VN"/>
              </w:rPr>
              <w:t>- Văn phòng Quốc hội;</w:t>
            </w:r>
          </w:p>
          <w:p w:rsidR="00082302" w:rsidRPr="00082302" w:rsidRDefault="00082302" w:rsidP="00082302">
            <w:pPr>
              <w:spacing w:after="0" w:line="300" w:lineRule="exact"/>
              <w:jc w:val="both"/>
              <w:rPr>
                <w:rFonts w:ascii="Arial" w:eastAsia="Times New Roman" w:hAnsi="Arial" w:cs="Arial"/>
                <w:color w:val="000000"/>
                <w:sz w:val="18"/>
                <w:szCs w:val="18"/>
                <w:lang w:eastAsia="vi-VN"/>
              </w:rPr>
            </w:pPr>
            <w:r w:rsidRPr="00082302">
              <w:rPr>
                <w:rFonts w:ascii="Arial" w:eastAsia="Times New Roman" w:hAnsi="Arial" w:cs="Arial"/>
                <w:color w:val="000000"/>
                <w:sz w:val="20"/>
                <w:szCs w:val="20"/>
                <w:lang w:eastAsia="vi-VN"/>
              </w:rPr>
              <w:t>- Văn phòng Chủ tịch nước;</w:t>
            </w:r>
          </w:p>
          <w:p w:rsidR="00082302" w:rsidRPr="00082302" w:rsidRDefault="00082302" w:rsidP="00082302">
            <w:pPr>
              <w:spacing w:after="0" w:line="300" w:lineRule="exact"/>
              <w:jc w:val="both"/>
              <w:rPr>
                <w:rFonts w:ascii="Arial" w:eastAsia="Times New Roman" w:hAnsi="Arial" w:cs="Arial"/>
                <w:color w:val="000000"/>
                <w:sz w:val="18"/>
                <w:szCs w:val="18"/>
                <w:lang w:eastAsia="vi-VN"/>
              </w:rPr>
            </w:pPr>
            <w:r w:rsidRPr="00082302">
              <w:rPr>
                <w:rFonts w:ascii="Arial" w:eastAsia="Times New Roman" w:hAnsi="Arial" w:cs="Arial"/>
                <w:color w:val="000000"/>
                <w:sz w:val="20"/>
                <w:szCs w:val="20"/>
                <w:lang w:eastAsia="vi-VN"/>
              </w:rPr>
              <w:t>- Văn phòng Chính phủ;</w:t>
            </w:r>
          </w:p>
          <w:p w:rsidR="00082302" w:rsidRPr="00082302" w:rsidRDefault="00082302" w:rsidP="00082302">
            <w:pPr>
              <w:spacing w:after="0" w:line="300" w:lineRule="exact"/>
              <w:jc w:val="both"/>
              <w:rPr>
                <w:rFonts w:ascii="Arial" w:eastAsia="Times New Roman" w:hAnsi="Arial" w:cs="Arial"/>
                <w:color w:val="000000"/>
                <w:sz w:val="18"/>
                <w:szCs w:val="18"/>
                <w:lang w:eastAsia="vi-VN"/>
              </w:rPr>
            </w:pPr>
            <w:r w:rsidRPr="00082302">
              <w:rPr>
                <w:rFonts w:ascii="Arial" w:eastAsia="Times New Roman" w:hAnsi="Arial" w:cs="Arial"/>
                <w:color w:val="000000"/>
                <w:sz w:val="20"/>
                <w:szCs w:val="20"/>
                <w:lang w:eastAsia="vi-VN"/>
              </w:rPr>
              <w:t>- Các Bộ, cơ quan ngang Bộ, cơ quan thuộc Chính phủ;</w:t>
            </w:r>
          </w:p>
          <w:p w:rsidR="00082302" w:rsidRPr="00082302" w:rsidRDefault="00082302" w:rsidP="00082302">
            <w:pPr>
              <w:spacing w:after="0" w:line="300" w:lineRule="exact"/>
              <w:jc w:val="both"/>
              <w:rPr>
                <w:rFonts w:ascii="Arial" w:eastAsia="Times New Roman" w:hAnsi="Arial" w:cs="Arial"/>
                <w:color w:val="000000"/>
                <w:sz w:val="18"/>
                <w:szCs w:val="18"/>
                <w:lang w:eastAsia="vi-VN"/>
              </w:rPr>
            </w:pPr>
            <w:r w:rsidRPr="00082302">
              <w:rPr>
                <w:rFonts w:ascii="Arial" w:eastAsia="Times New Roman" w:hAnsi="Arial" w:cs="Arial"/>
                <w:color w:val="000000"/>
                <w:sz w:val="20"/>
                <w:szCs w:val="20"/>
                <w:lang w:eastAsia="vi-VN"/>
              </w:rPr>
              <w:t>- Cơ quan trung ương của các đoàn thể;    </w:t>
            </w:r>
          </w:p>
          <w:p w:rsidR="00082302" w:rsidRPr="00082302" w:rsidRDefault="00082302" w:rsidP="00082302">
            <w:pPr>
              <w:spacing w:after="0" w:line="300" w:lineRule="exact"/>
              <w:jc w:val="both"/>
              <w:rPr>
                <w:rFonts w:ascii="Arial" w:eastAsia="Times New Roman" w:hAnsi="Arial" w:cs="Arial"/>
                <w:color w:val="000000"/>
                <w:sz w:val="18"/>
                <w:szCs w:val="18"/>
                <w:lang w:eastAsia="vi-VN"/>
              </w:rPr>
            </w:pPr>
            <w:r w:rsidRPr="00082302">
              <w:rPr>
                <w:rFonts w:ascii="Arial" w:eastAsia="Times New Roman" w:hAnsi="Arial" w:cs="Arial"/>
                <w:color w:val="000000"/>
                <w:sz w:val="20"/>
                <w:szCs w:val="20"/>
                <w:lang w:eastAsia="vi-VN"/>
              </w:rPr>
              <w:t>- HĐND, UBND các tỉnh, thành phố trực thuộc TW;</w:t>
            </w:r>
          </w:p>
          <w:p w:rsidR="00082302" w:rsidRPr="00082302" w:rsidRDefault="00082302" w:rsidP="00082302">
            <w:pPr>
              <w:spacing w:after="0" w:line="300" w:lineRule="exact"/>
              <w:jc w:val="both"/>
              <w:rPr>
                <w:rFonts w:ascii="Arial" w:eastAsia="Times New Roman" w:hAnsi="Arial" w:cs="Arial"/>
                <w:color w:val="000000"/>
                <w:sz w:val="18"/>
                <w:szCs w:val="18"/>
                <w:lang w:eastAsia="vi-VN"/>
              </w:rPr>
            </w:pPr>
            <w:r w:rsidRPr="00082302">
              <w:rPr>
                <w:rFonts w:ascii="Arial" w:eastAsia="Times New Roman" w:hAnsi="Arial" w:cs="Arial"/>
                <w:color w:val="000000"/>
                <w:sz w:val="20"/>
                <w:szCs w:val="20"/>
                <w:lang w:eastAsia="vi-VN"/>
              </w:rPr>
              <w:t>- Viện Kiểm sát nhân dân tối cao;</w:t>
            </w:r>
          </w:p>
          <w:p w:rsidR="00082302" w:rsidRPr="00082302" w:rsidRDefault="00082302" w:rsidP="00082302">
            <w:pPr>
              <w:spacing w:after="0" w:line="300" w:lineRule="exact"/>
              <w:jc w:val="both"/>
              <w:rPr>
                <w:rFonts w:ascii="Arial" w:eastAsia="Times New Roman" w:hAnsi="Arial" w:cs="Arial"/>
                <w:color w:val="000000"/>
                <w:sz w:val="18"/>
                <w:szCs w:val="18"/>
                <w:lang w:eastAsia="vi-VN"/>
              </w:rPr>
            </w:pPr>
            <w:r w:rsidRPr="00082302">
              <w:rPr>
                <w:rFonts w:ascii="Arial" w:eastAsia="Times New Roman" w:hAnsi="Arial" w:cs="Arial"/>
                <w:color w:val="000000"/>
                <w:sz w:val="20"/>
                <w:szCs w:val="20"/>
                <w:lang w:eastAsia="vi-VN"/>
              </w:rPr>
              <w:t>- Toà án nhân dân tối cao;</w:t>
            </w:r>
          </w:p>
          <w:p w:rsidR="00082302" w:rsidRPr="00082302" w:rsidRDefault="00082302" w:rsidP="00082302">
            <w:pPr>
              <w:spacing w:after="0" w:line="300" w:lineRule="exact"/>
              <w:jc w:val="both"/>
              <w:rPr>
                <w:rFonts w:ascii="Arial" w:eastAsia="Times New Roman" w:hAnsi="Arial" w:cs="Arial"/>
                <w:color w:val="000000"/>
                <w:sz w:val="18"/>
                <w:szCs w:val="18"/>
                <w:lang w:eastAsia="vi-VN"/>
              </w:rPr>
            </w:pPr>
            <w:r w:rsidRPr="00082302">
              <w:rPr>
                <w:rFonts w:ascii="Arial" w:eastAsia="Times New Roman" w:hAnsi="Arial" w:cs="Arial"/>
                <w:color w:val="000000"/>
                <w:sz w:val="20"/>
                <w:szCs w:val="20"/>
                <w:lang w:eastAsia="vi-VN"/>
              </w:rPr>
              <w:t>- Sở Tài chính các tỉnh, thành phố trực thuộc TW;</w:t>
            </w:r>
          </w:p>
          <w:p w:rsidR="00082302" w:rsidRPr="00082302" w:rsidRDefault="00082302" w:rsidP="00082302">
            <w:pPr>
              <w:spacing w:after="0" w:line="300" w:lineRule="exact"/>
              <w:jc w:val="both"/>
              <w:rPr>
                <w:rFonts w:ascii="Arial" w:eastAsia="Times New Roman" w:hAnsi="Arial" w:cs="Arial"/>
                <w:color w:val="000000"/>
                <w:sz w:val="18"/>
                <w:szCs w:val="18"/>
                <w:lang w:eastAsia="vi-VN"/>
              </w:rPr>
            </w:pPr>
            <w:r w:rsidRPr="00082302">
              <w:rPr>
                <w:rFonts w:ascii="Arial" w:eastAsia="Times New Roman" w:hAnsi="Arial" w:cs="Arial"/>
                <w:color w:val="000000"/>
                <w:sz w:val="20"/>
                <w:szCs w:val="20"/>
                <w:lang w:eastAsia="vi-VN"/>
              </w:rPr>
              <w:t>- Cục Kiểm tra văn bản - Bộ Tư pháp;</w:t>
            </w:r>
          </w:p>
          <w:p w:rsidR="00082302" w:rsidRPr="00082302" w:rsidRDefault="00082302" w:rsidP="00082302">
            <w:pPr>
              <w:spacing w:after="0" w:line="300" w:lineRule="exact"/>
              <w:jc w:val="both"/>
              <w:rPr>
                <w:rFonts w:ascii="Arial" w:eastAsia="Times New Roman" w:hAnsi="Arial" w:cs="Arial"/>
                <w:color w:val="000000"/>
                <w:sz w:val="18"/>
                <w:szCs w:val="18"/>
                <w:lang w:eastAsia="vi-VN"/>
              </w:rPr>
            </w:pPr>
            <w:r w:rsidRPr="00082302">
              <w:rPr>
                <w:rFonts w:ascii="Arial" w:eastAsia="Times New Roman" w:hAnsi="Arial" w:cs="Arial"/>
                <w:color w:val="000000"/>
                <w:sz w:val="20"/>
                <w:szCs w:val="20"/>
                <w:lang w:eastAsia="vi-VN"/>
              </w:rPr>
              <w:t>- Cổng thông tin điện tử Chính phủ;</w:t>
            </w:r>
          </w:p>
          <w:p w:rsidR="00082302" w:rsidRPr="00082302" w:rsidRDefault="00082302" w:rsidP="00082302">
            <w:pPr>
              <w:spacing w:after="0" w:line="300" w:lineRule="exact"/>
              <w:jc w:val="both"/>
              <w:rPr>
                <w:rFonts w:ascii="Arial" w:eastAsia="Times New Roman" w:hAnsi="Arial" w:cs="Arial"/>
                <w:color w:val="000000"/>
                <w:sz w:val="18"/>
                <w:szCs w:val="18"/>
                <w:lang w:eastAsia="vi-VN"/>
              </w:rPr>
            </w:pPr>
            <w:r w:rsidRPr="00082302">
              <w:rPr>
                <w:rFonts w:ascii="Arial" w:eastAsia="Times New Roman" w:hAnsi="Arial" w:cs="Arial"/>
                <w:color w:val="000000"/>
                <w:sz w:val="20"/>
                <w:szCs w:val="20"/>
                <w:lang w:eastAsia="vi-VN"/>
              </w:rPr>
              <w:t>- Các đơn vị thuộc và trực thuộc Bộ Tài chính;</w:t>
            </w:r>
          </w:p>
          <w:p w:rsidR="00082302" w:rsidRPr="00082302" w:rsidRDefault="00082302" w:rsidP="00082302">
            <w:pPr>
              <w:spacing w:after="0" w:line="300" w:lineRule="exact"/>
              <w:jc w:val="both"/>
              <w:rPr>
                <w:rFonts w:ascii="Arial" w:eastAsia="Times New Roman" w:hAnsi="Arial" w:cs="Arial"/>
                <w:color w:val="000000"/>
                <w:sz w:val="18"/>
                <w:szCs w:val="18"/>
                <w:lang w:eastAsia="vi-VN"/>
              </w:rPr>
            </w:pPr>
            <w:r w:rsidRPr="00082302">
              <w:rPr>
                <w:rFonts w:ascii="Arial" w:eastAsia="Times New Roman" w:hAnsi="Arial" w:cs="Arial"/>
                <w:color w:val="000000"/>
                <w:sz w:val="20"/>
                <w:szCs w:val="20"/>
                <w:lang w:eastAsia="vi-VN"/>
              </w:rPr>
              <w:t>- Cổng thông tin điện tử Bộ Tài chính;</w:t>
            </w:r>
          </w:p>
          <w:p w:rsidR="00082302" w:rsidRPr="00082302" w:rsidRDefault="00082302" w:rsidP="00082302">
            <w:pPr>
              <w:spacing w:after="0" w:line="300" w:lineRule="exact"/>
              <w:jc w:val="both"/>
              <w:rPr>
                <w:rFonts w:ascii="Arial" w:eastAsia="Times New Roman" w:hAnsi="Arial" w:cs="Arial"/>
                <w:color w:val="000000"/>
                <w:sz w:val="18"/>
                <w:szCs w:val="18"/>
                <w:lang w:eastAsia="vi-VN"/>
              </w:rPr>
            </w:pPr>
            <w:r w:rsidRPr="00082302">
              <w:rPr>
                <w:rFonts w:ascii="Arial" w:eastAsia="Times New Roman" w:hAnsi="Arial" w:cs="Arial"/>
                <w:color w:val="000000"/>
                <w:sz w:val="20"/>
                <w:szCs w:val="20"/>
                <w:lang w:eastAsia="vi-VN"/>
              </w:rPr>
              <w:t>- Kiểm toán Nhà nước;</w:t>
            </w:r>
          </w:p>
          <w:p w:rsidR="00082302" w:rsidRPr="00082302" w:rsidRDefault="00082302" w:rsidP="00082302">
            <w:pPr>
              <w:spacing w:after="0" w:line="300" w:lineRule="exact"/>
              <w:jc w:val="both"/>
              <w:rPr>
                <w:rFonts w:ascii="Arial" w:eastAsia="Times New Roman" w:hAnsi="Arial" w:cs="Arial"/>
                <w:color w:val="000000"/>
                <w:sz w:val="18"/>
                <w:szCs w:val="18"/>
                <w:lang w:eastAsia="vi-VN"/>
              </w:rPr>
            </w:pPr>
            <w:r w:rsidRPr="00082302">
              <w:rPr>
                <w:rFonts w:ascii="Arial" w:eastAsia="Times New Roman" w:hAnsi="Arial" w:cs="Arial"/>
                <w:color w:val="000000"/>
                <w:sz w:val="20"/>
                <w:szCs w:val="20"/>
                <w:lang w:eastAsia="vi-VN"/>
              </w:rPr>
              <w:t>- Công báo;</w:t>
            </w:r>
          </w:p>
          <w:p w:rsidR="00082302" w:rsidRPr="00082302" w:rsidRDefault="00082302" w:rsidP="00082302">
            <w:pPr>
              <w:spacing w:after="0" w:line="300" w:lineRule="exact"/>
              <w:jc w:val="both"/>
              <w:rPr>
                <w:rFonts w:ascii="Arial" w:eastAsia="Times New Roman" w:hAnsi="Arial" w:cs="Arial"/>
                <w:color w:val="000000"/>
                <w:sz w:val="18"/>
                <w:szCs w:val="18"/>
                <w:lang w:eastAsia="vi-VN"/>
              </w:rPr>
            </w:pPr>
            <w:r w:rsidRPr="00082302">
              <w:rPr>
                <w:rFonts w:ascii="Arial" w:eastAsia="Times New Roman" w:hAnsi="Arial" w:cs="Arial"/>
                <w:color w:val="000000"/>
                <w:sz w:val="20"/>
                <w:szCs w:val="20"/>
                <w:lang w:eastAsia="vi-VN"/>
              </w:rPr>
              <w:t>- Lưu: VT, THTK.</w:t>
            </w:r>
          </w:p>
        </w:tc>
        <w:tc>
          <w:tcPr>
            <w:tcW w:w="3696" w:type="dxa"/>
            <w:shd w:val="clear" w:color="auto" w:fill="FFFFFF"/>
            <w:hideMark/>
          </w:tcPr>
          <w:p w:rsidR="00082302" w:rsidRPr="00082302" w:rsidRDefault="00082302" w:rsidP="00082302">
            <w:pPr>
              <w:spacing w:after="0" w:line="360" w:lineRule="exact"/>
              <w:jc w:val="center"/>
              <w:rPr>
                <w:rFonts w:ascii="Arial" w:eastAsia="Times New Roman" w:hAnsi="Arial" w:cs="Arial"/>
                <w:color w:val="000000"/>
                <w:sz w:val="18"/>
                <w:szCs w:val="18"/>
                <w:lang w:eastAsia="vi-VN"/>
              </w:rPr>
            </w:pPr>
            <w:r w:rsidRPr="00082302">
              <w:rPr>
                <w:rFonts w:ascii="Arial" w:eastAsia="Times New Roman" w:hAnsi="Arial" w:cs="Arial"/>
                <w:b/>
                <w:bCs/>
                <w:color w:val="000000"/>
                <w:sz w:val="20"/>
                <w:szCs w:val="20"/>
                <w:lang w:eastAsia="vi-VN"/>
              </w:rPr>
              <w:t>KT. BỘ TRƯỞNG</w:t>
            </w:r>
          </w:p>
          <w:p w:rsidR="00082302" w:rsidRPr="00082302" w:rsidRDefault="00082302" w:rsidP="00082302">
            <w:pPr>
              <w:spacing w:after="0" w:line="360" w:lineRule="exact"/>
              <w:jc w:val="center"/>
              <w:rPr>
                <w:rFonts w:ascii="Arial" w:eastAsia="Times New Roman" w:hAnsi="Arial" w:cs="Arial"/>
                <w:color w:val="000000"/>
                <w:sz w:val="18"/>
                <w:szCs w:val="18"/>
                <w:lang w:eastAsia="vi-VN"/>
              </w:rPr>
            </w:pPr>
            <w:r w:rsidRPr="00082302">
              <w:rPr>
                <w:rFonts w:ascii="Arial" w:eastAsia="Times New Roman" w:hAnsi="Arial" w:cs="Arial"/>
                <w:b/>
                <w:bCs/>
                <w:color w:val="000000"/>
                <w:sz w:val="20"/>
                <w:szCs w:val="20"/>
                <w:lang w:eastAsia="vi-VN"/>
              </w:rPr>
              <w:t>THỨ TRƯỞNG</w:t>
            </w:r>
          </w:p>
          <w:p w:rsidR="00082302" w:rsidRPr="00082302" w:rsidRDefault="00082302" w:rsidP="00082302">
            <w:pPr>
              <w:spacing w:after="0" w:line="360" w:lineRule="exact"/>
              <w:jc w:val="center"/>
              <w:rPr>
                <w:rFonts w:ascii="Arial" w:eastAsia="Times New Roman" w:hAnsi="Arial" w:cs="Arial"/>
                <w:color w:val="000000"/>
                <w:sz w:val="18"/>
                <w:szCs w:val="18"/>
                <w:lang w:eastAsia="vi-VN"/>
              </w:rPr>
            </w:pPr>
            <w:r w:rsidRPr="00082302">
              <w:rPr>
                <w:rFonts w:ascii="Arial" w:eastAsia="Times New Roman" w:hAnsi="Arial" w:cs="Arial"/>
                <w:color w:val="000000"/>
                <w:sz w:val="18"/>
                <w:szCs w:val="18"/>
                <w:lang w:eastAsia="vi-VN"/>
              </w:rPr>
              <w:t> </w:t>
            </w:r>
          </w:p>
          <w:p w:rsidR="00082302" w:rsidRPr="00082302" w:rsidRDefault="00082302" w:rsidP="00082302">
            <w:pPr>
              <w:spacing w:after="0" w:line="360" w:lineRule="exact"/>
              <w:jc w:val="center"/>
              <w:rPr>
                <w:rFonts w:ascii="Arial" w:eastAsia="Times New Roman" w:hAnsi="Arial" w:cs="Arial"/>
                <w:color w:val="000000"/>
                <w:sz w:val="18"/>
                <w:szCs w:val="18"/>
                <w:lang w:eastAsia="vi-VN"/>
              </w:rPr>
            </w:pPr>
            <w:r w:rsidRPr="00082302">
              <w:rPr>
                <w:rFonts w:ascii="Arial" w:eastAsia="Times New Roman" w:hAnsi="Arial" w:cs="Arial"/>
                <w:color w:val="000000"/>
                <w:sz w:val="18"/>
                <w:szCs w:val="18"/>
                <w:lang w:eastAsia="vi-VN"/>
              </w:rPr>
              <w:t> </w:t>
            </w:r>
          </w:p>
          <w:p w:rsidR="00082302" w:rsidRPr="00082302" w:rsidRDefault="00082302" w:rsidP="00082302">
            <w:pPr>
              <w:spacing w:after="0" w:line="360" w:lineRule="exact"/>
              <w:jc w:val="center"/>
              <w:rPr>
                <w:rFonts w:ascii="Arial" w:eastAsia="Times New Roman" w:hAnsi="Arial" w:cs="Arial"/>
                <w:color w:val="000000"/>
                <w:sz w:val="18"/>
                <w:szCs w:val="18"/>
                <w:lang w:eastAsia="vi-VN"/>
              </w:rPr>
            </w:pPr>
            <w:r w:rsidRPr="00082302">
              <w:rPr>
                <w:rFonts w:ascii="Arial" w:eastAsia="Times New Roman" w:hAnsi="Arial" w:cs="Arial"/>
                <w:color w:val="000000"/>
                <w:sz w:val="18"/>
                <w:szCs w:val="18"/>
                <w:lang w:eastAsia="vi-VN"/>
              </w:rPr>
              <w:t> </w:t>
            </w:r>
          </w:p>
          <w:p w:rsidR="00082302" w:rsidRPr="00082302" w:rsidRDefault="00082302" w:rsidP="00082302">
            <w:pPr>
              <w:spacing w:after="0" w:line="360" w:lineRule="exact"/>
              <w:jc w:val="center"/>
              <w:rPr>
                <w:rFonts w:ascii="Arial" w:eastAsia="Times New Roman" w:hAnsi="Arial" w:cs="Arial"/>
                <w:color w:val="000000"/>
                <w:sz w:val="18"/>
                <w:szCs w:val="18"/>
                <w:lang w:eastAsia="vi-VN"/>
              </w:rPr>
            </w:pPr>
            <w:r w:rsidRPr="00082302">
              <w:rPr>
                <w:rFonts w:ascii="Arial" w:eastAsia="Times New Roman" w:hAnsi="Arial" w:cs="Arial"/>
                <w:color w:val="000000"/>
                <w:sz w:val="18"/>
                <w:szCs w:val="18"/>
                <w:lang w:eastAsia="vi-VN"/>
              </w:rPr>
              <w:t> </w:t>
            </w:r>
          </w:p>
          <w:p w:rsidR="00082302" w:rsidRPr="00082302" w:rsidRDefault="00082302" w:rsidP="00082302">
            <w:pPr>
              <w:spacing w:after="0" w:line="360" w:lineRule="exact"/>
              <w:jc w:val="center"/>
              <w:rPr>
                <w:rFonts w:ascii="Arial" w:eastAsia="Times New Roman" w:hAnsi="Arial" w:cs="Arial"/>
                <w:color w:val="000000"/>
                <w:sz w:val="18"/>
                <w:szCs w:val="18"/>
                <w:lang w:eastAsia="vi-VN"/>
              </w:rPr>
            </w:pPr>
            <w:r w:rsidRPr="00082302">
              <w:rPr>
                <w:rFonts w:ascii="Arial" w:eastAsia="Times New Roman" w:hAnsi="Arial" w:cs="Arial"/>
                <w:color w:val="000000"/>
                <w:sz w:val="18"/>
                <w:szCs w:val="18"/>
                <w:lang w:eastAsia="vi-VN"/>
              </w:rPr>
              <w:t> </w:t>
            </w:r>
          </w:p>
          <w:p w:rsidR="00082302" w:rsidRPr="00082302" w:rsidRDefault="00082302" w:rsidP="00082302">
            <w:pPr>
              <w:spacing w:after="0" w:line="360" w:lineRule="exact"/>
              <w:jc w:val="center"/>
              <w:rPr>
                <w:rFonts w:ascii="Arial" w:eastAsia="Times New Roman" w:hAnsi="Arial" w:cs="Arial"/>
                <w:color w:val="000000"/>
                <w:sz w:val="18"/>
                <w:szCs w:val="18"/>
                <w:lang w:eastAsia="vi-VN"/>
              </w:rPr>
            </w:pPr>
            <w:r w:rsidRPr="00082302">
              <w:rPr>
                <w:rFonts w:ascii="Arial" w:eastAsia="Times New Roman" w:hAnsi="Arial" w:cs="Arial"/>
                <w:b/>
                <w:bCs/>
                <w:color w:val="000000"/>
                <w:sz w:val="20"/>
                <w:szCs w:val="20"/>
                <w:lang w:eastAsia="vi-VN"/>
              </w:rPr>
              <w:t>Vũ Thị Mai</w:t>
            </w:r>
          </w:p>
          <w:p w:rsidR="00082302" w:rsidRPr="00082302" w:rsidRDefault="00082302" w:rsidP="00082302">
            <w:pPr>
              <w:spacing w:after="0" w:line="360" w:lineRule="exact"/>
              <w:jc w:val="both"/>
              <w:rPr>
                <w:rFonts w:ascii="Arial" w:eastAsia="Times New Roman" w:hAnsi="Arial" w:cs="Arial"/>
                <w:color w:val="000000"/>
                <w:sz w:val="18"/>
                <w:szCs w:val="18"/>
                <w:lang w:eastAsia="vi-VN"/>
              </w:rPr>
            </w:pPr>
            <w:r w:rsidRPr="00082302">
              <w:rPr>
                <w:rFonts w:ascii="Arial" w:eastAsia="Times New Roman" w:hAnsi="Arial" w:cs="Arial"/>
                <w:color w:val="000000"/>
                <w:sz w:val="18"/>
                <w:szCs w:val="18"/>
                <w:lang w:eastAsia="vi-VN"/>
              </w:rPr>
              <w:t> </w:t>
            </w:r>
          </w:p>
          <w:p w:rsidR="00082302" w:rsidRPr="00082302" w:rsidRDefault="00082302" w:rsidP="00082302">
            <w:pPr>
              <w:spacing w:after="0" w:line="360" w:lineRule="exact"/>
              <w:jc w:val="both"/>
              <w:rPr>
                <w:rFonts w:ascii="Arial" w:eastAsia="Times New Roman" w:hAnsi="Arial" w:cs="Arial"/>
                <w:color w:val="000000"/>
                <w:sz w:val="18"/>
                <w:szCs w:val="18"/>
                <w:lang w:eastAsia="vi-VN"/>
              </w:rPr>
            </w:pPr>
            <w:r w:rsidRPr="00082302">
              <w:rPr>
                <w:rFonts w:ascii="Arial" w:eastAsia="Times New Roman" w:hAnsi="Arial" w:cs="Arial"/>
                <w:color w:val="000000"/>
                <w:sz w:val="18"/>
                <w:szCs w:val="18"/>
                <w:lang w:eastAsia="vi-VN"/>
              </w:rPr>
              <w:t> </w:t>
            </w:r>
          </w:p>
        </w:tc>
      </w:tr>
    </w:tbl>
    <w:p w:rsidR="00335E3D" w:rsidRDefault="00335E3D" w:rsidP="00082302">
      <w:pPr>
        <w:spacing w:after="0" w:line="360" w:lineRule="exact"/>
      </w:pPr>
    </w:p>
    <w:sectPr w:rsidR="00335E3D" w:rsidSect="00335E3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82302"/>
    <w:rsid w:val="00082302"/>
    <w:rsid w:val="00335E3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E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082302"/>
    <w:pPr>
      <w:spacing w:before="100" w:beforeAutospacing="1" w:after="100" w:afterAutospacing="1" w:line="240" w:lineRule="auto"/>
    </w:pPr>
    <w:rPr>
      <w:rFonts w:eastAsia="Times New Roman" w:cs="Times New Roman"/>
      <w:szCs w:val="24"/>
      <w:lang w:eastAsia="vi-VN"/>
    </w:rPr>
  </w:style>
  <w:style w:type="paragraph" w:customStyle="1" w:styleId="bodytext3">
    <w:name w:val="bodytext3"/>
    <w:basedOn w:val="Normal"/>
    <w:rsid w:val="00082302"/>
    <w:pPr>
      <w:spacing w:before="100" w:beforeAutospacing="1" w:after="100" w:afterAutospacing="1" w:line="240" w:lineRule="auto"/>
    </w:pPr>
    <w:rPr>
      <w:rFonts w:eastAsia="Times New Roman" w:cs="Times New Roman"/>
      <w:szCs w:val="24"/>
      <w:lang w:eastAsia="vi-VN"/>
    </w:rPr>
  </w:style>
  <w:style w:type="paragraph" w:customStyle="1" w:styleId="heading5">
    <w:name w:val="heading5"/>
    <w:basedOn w:val="Normal"/>
    <w:rsid w:val="00082302"/>
    <w:pPr>
      <w:spacing w:before="100" w:beforeAutospacing="1" w:after="100" w:afterAutospacing="1" w:line="240" w:lineRule="auto"/>
    </w:pPr>
    <w:rPr>
      <w:rFonts w:eastAsia="Times New Roman" w:cs="Times New Roman"/>
      <w:szCs w:val="24"/>
      <w:lang w:eastAsia="vi-VN"/>
    </w:rPr>
  </w:style>
  <w:style w:type="paragraph" w:customStyle="1" w:styleId="styletimesnewromanfirstline0cm">
    <w:name w:val="styletimesnewromanfirstline0cm"/>
    <w:basedOn w:val="Normal"/>
    <w:rsid w:val="00082302"/>
    <w:pPr>
      <w:spacing w:before="100" w:beforeAutospacing="1" w:after="100" w:afterAutospacing="1" w:line="240" w:lineRule="auto"/>
    </w:pPr>
    <w:rPr>
      <w:rFonts w:eastAsia="Times New Roman" w:cs="Times New Roman"/>
      <w:szCs w:val="24"/>
      <w:lang w:eastAsia="vi-VN"/>
    </w:rPr>
  </w:style>
</w:styles>
</file>

<file path=word/webSettings.xml><?xml version="1.0" encoding="utf-8"?>
<w:webSettings xmlns:r="http://schemas.openxmlformats.org/officeDocument/2006/relationships" xmlns:w="http://schemas.openxmlformats.org/wordprocessingml/2006/main">
  <w:divs>
    <w:div w:id="63183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461EC45F-FC14-456A-B59A-8926DB3A3018}"/>
</file>

<file path=customXml/itemProps2.xml><?xml version="1.0" encoding="utf-8"?>
<ds:datastoreItem xmlns:ds="http://schemas.openxmlformats.org/officeDocument/2006/customXml" ds:itemID="{8D8F676A-B24D-4D37-AE30-612990000ABB}"/>
</file>

<file path=customXml/itemProps3.xml><?xml version="1.0" encoding="utf-8"?>
<ds:datastoreItem xmlns:ds="http://schemas.openxmlformats.org/officeDocument/2006/customXml" ds:itemID="{9C95280C-F551-44B8-AB79-17E159286555}"/>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3514</Characters>
  <Application>Microsoft Office Word</Application>
  <DocSecurity>0</DocSecurity>
  <Lines>29</Lines>
  <Paragraphs>8</Paragraphs>
  <ScaleCrop>false</ScaleCrop>
  <Company/>
  <LinksUpToDate>false</LinksUpToDate>
  <CharactersWithSpaces>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2018-03-16T04:19:00Z</dcterms:created>
  <dcterms:modified xsi:type="dcterms:W3CDTF">2018-03-16T04:20:00Z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